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A8450" w14:textId="752F5987" w:rsidR="0017387A" w:rsidRDefault="00E463FA" w:rsidP="00E463FA">
      <w:pPr>
        <w:pStyle w:val="GSHeading1withnumb"/>
        <w:ind w:left="567" w:hanging="567"/>
      </w:pPr>
      <w:r>
        <w:t>Initial Feedback from CEPA/TNEI on Working Groups Question</w:t>
      </w:r>
    </w:p>
    <w:p w14:paraId="0CD3C420" w14:textId="61DAE87C" w:rsidR="00E463FA" w:rsidRDefault="00E463FA" w:rsidP="00E463FA">
      <w:pPr>
        <w:pStyle w:val="GSBodyParawithnumb"/>
      </w:pPr>
      <w:r>
        <w:t>The below is the</w:t>
      </w:r>
      <w:r>
        <w:t xml:space="preserve"> feedback received from CEPA/TNEI regarding the document </w:t>
      </w:r>
      <w:r>
        <w:t xml:space="preserve">that was </w:t>
      </w:r>
      <w:r>
        <w:t xml:space="preserve">created as a means of requesting </w:t>
      </w:r>
      <w:r>
        <w:t>a</w:t>
      </w:r>
      <w:r>
        <w:t xml:space="preserve"> service (i.e., their attendance at a Working Group meeting). CEPA/TNEI</w:t>
      </w:r>
      <w:r>
        <w:t xml:space="preserve"> were provided with relevant attachments, including, the</w:t>
      </w:r>
      <w:r>
        <w:t xml:space="preserve"> initial working group impact assessment spreadsheet, the draft consultation document and the draft legal text. With that information to hand, </w:t>
      </w:r>
      <w:r>
        <w:t xml:space="preserve">CEPA/TNEI provided some initial </w:t>
      </w:r>
      <w:r>
        <w:t>thoughts/views, both on the main question the group had but also more generally on the proposed solution</w:t>
      </w:r>
      <w:r>
        <w:t xml:space="preserve">. </w:t>
      </w:r>
    </w:p>
    <w:p w14:paraId="3317B679" w14:textId="3694A823" w:rsidR="00E463FA" w:rsidRDefault="00E463FA" w:rsidP="00E463FA">
      <w:pPr>
        <w:pStyle w:val="GSBodyParawithnumb"/>
      </w:pPr>
      <w:r>
        <w:t xml:space="preserve">The </w:t>
      </w:r>
      <w:r w:rsidRPr="00E463FA">
        <w:t xml:space="preserve">initial thoughts/views </w:t>
      </w:r>
      <w:r>
        <w:t xml:space="preserve">provided by </w:t>
      </w:r>
      <w:r w:rsidRPr="00E463FA">
        <w:t xml:space="preserve">CEPA/TNEI </w:t>
      </w:r>
      <w:r>
        <w:t>were as follows:</w:t>
      </w:r>
    </w:p>
    <w:p w14:paraId="2FDE1FD1" w14:textId="77777777" w:rsidR="00E463FA" w:rsidRPr="00E463FA" w:rsidRDefault="00E463FA" w:rsidP="00E463FA">
      <w:pPr>
        <w:ind w:left="720"/>
        <w:rPr>
          <w:color w:val="7F7F7F" w:themeColor="text1" w:themeTint="80"/>
        </w:rPr>
      </w:pPr>
      <w:r w:rsidRPr="00E463FA">
        <w:rPr>
          <w:color w:val="7F7F7F" w:themeColor="text1" w:themeTint="80"/>
        </w:rPr>
        <w:t xml:space="preserve">I’ve gone through the documents you shared ahead of the DCP474 working group call. I have a few observations which I think would be better to share now than to wait for the call to bring up. </w:t>
      </w:r>
    </w:p>
    <w:p w14:paraId="395D43D8" w14:textId="77777777" w:rsidR="00E463FA" w:rsidRPr="00E463FA" w:rsidRDefault="00E463FA" w:rsidP="00E463FA">
      <w:pPr>
        <w:ind w:left="720"/>
        <w:rPr>
          <w:b/>
          <w:bCs/>
          <w:color w:val="7F7F7F" w:themeColor="text1" w:themeTint="80"/>
          <w:u w:val="single"/>
        </w:rPr>
      </w:pPr>
      <w:r w:rsidRPr="00E463FA">
        <w:rPr>
          <w:b/>
          <w:bCs/>
          <w:color w:val="7F7F7F" w:themeColor="text1" w:themeTint="80"/>
          <w:u w:val="single"/>
        </w:rPr>
        <w:t>The WG’s initial solution &amp; a suggested amendment</w:t>
      </w:r>
    </w:p>
    <w:p w14:paraId="4A009168" w14:textId="77777777" w:rsidR="00E463FA" w:rsidRPr="00E463FA" w:rsidRDefault="00E463FA" w:rsidP="00E463FA">
      <w:pPr>
        <w:numPr>
          <w:ilvl w:val="0"/>
          <w:numId w:val="19"/>
        </w:numPr>
        <w:ind w:left="1440"/>
        <w:rPr>
          <w:color w:val="7F7F7F" w:themeColor="text1" w:themeTint="80"/>
        </w:rPr>
      </w:pPr>
      <w:r w:rsidRPr="00E463FA">
        <w:rPr>
          <w:color w:val="7F7F7F" w:themeColor="text1" w:themeTint="80"/>
        </w:rPr>
        <w:t xml:space="preserve">I think I understand the working group’s solution and have replicated it to check that I can recreate their impact assessment (attachment C). </w:t>
      </w:r>
    </w:p>
    <w:p w14:paraId="12D717C1" w14:textId="77777777" w:rsidR="00E463FA" w:rsidRPr="00E463FA" w:rsidRDefault="00E463FA" w:rsidP="00E463FA">
      <w:pPr>
        <w:numPr>
          <w:ilvl w:val="0"/>
          <w:numId w:val="19"/>
        </w:numPr>
        <w:ind w:left="1440"/>
        <w:rPr>
          <w:color w:val="7F7F7F" w:themeColor="text1" w:themeTint="80"/>
        </w:rPr>
      </w:pPr>
      <w:r w:rsidRPr="00E463FA">
        <w:rPr>
          <w:color w:val="7F7F7F" w:themeColor="text1" w:themeTint="80"/>
        </w:rPr>
        <w:t xml:space="preserve">The working group’s initial solution follows the same steps as existing adders for bad debt and </w:t>
      </w:r>
      <w:proofErr w:type="spellStart"/>
      <w:r w:rsidRPr="00E463FA">
        <w:rPr>
          <w:color w:val="7F7F7F" w:themeColor="text1" w:themeTint="80"/>
        </w:rPr>
        <w:t>SoLR</w:t>
      </w:r>
      <w:proofErr w:type="spellEnd"/>
      <w:r w:rsidRPr="00E463FA">
        <w:rPr>
          <w:color w:val="7F7F7F" w:themeColor="text1" w:themeTint="80"/>
        </w:rPr>
        <w:t xml:space="preserve"> pass-through costs but, unlike for the existing pass-through adders, the new adder would have LDNO discount percentages applied. </w:t>
      </w:r>
    </w:p>
    <w:p w14:paraId="60B6F9D7" w14:textId="77777777" w:rsidR="00E463FA" w:rsidRPr="00E463FA" w:rsidRDefault="00E463FA" w:rsidP="00E463FA">
      <w:pPr>
        <w:numPr>
          <w:ilvl w:val="0"/>
          <w:numId w:val="19"/>
        </w:numPr>
        <w:ind w:left="1440"/>
        <w:rPr>
          <w:color w:val="7F7F7F" w:themeColor="text1" w:themeTint="80"/>
        </w:rPr>
      </w:pPr>
      <w:r w:rsidRPr="00E463FA">
        <w:rPr>
          <w:color w:val="7F7F7F" w:themeColor="text1" w:themeTint="80"/>
        </w:rPr>
        <w:t>This solution will cause DNOs to under-recover their allowed revenues because the adder is calculated on the assumption that it will apply to all relevant MPANs equally, but then not applied to the LDNO-discounted proportion of relevant MPANs.</w:t>
      </w:r>
    </w:p>
    <w:p w14:paraId="669B85D2" w14:textId="77777777" w:rsidR="00E463FA" w:rsidRPr="00E463FA" w:rsidRDefault="00E463FA" w:rsidP="00E463FA">
      <w:pPr>
        <w:numPr>
          <w:ilvl w:val="0"/>
          <w:numId w:val="19"/>
        </w:numPr>
        <w:ind w:left="1440"/>
        <w:rPr>
          <w:color w:val="7F7F7F" w:themeColor="text1" w:themeTint="80"/>
        </w:rPr>
      </w:pPr>
      <w:r w:rsidRPr="00E463FA">
        <w:rPr>
          <w:color w:val="7F7F7F" w:themeColor="text1" w:themeTint="80"/>
        </w:rPr>
        <w:t xml:space="preserve">There is an easy fix – which is to use “discounted MPANs” when calculating the fixed charge adder. This can be found at the top of the ‘Fixed charges’ sheet. </w:t>
      </w:r>
    </w:p>
    <w:p w14:paraId="7769A586" w14:textId="77777777" w:rsidR="00E463FA" w:rsidRPr="00E463FA" w:rsidRDefault="00E463FA" w:rsidP="00E463FA">
      <w:pPr>
        <w:numPr>
          <w:ilvl w:val="0"/>
          <w:numId w:val="19"/>
        </w:numPr>
        <w:ind w:left="1440"/>
        <w:rPr>
          <w:color w:val="7F7F7F" w:themeColor="text1" w:themeTint="80"/>
        </w:rPr>
      </w:pPr>
      <w:r w:rsidRPr="00E463FA">
        <w:rPr>
          <w:color w:val="7F7F7F" w:themeColor="text1" w:themeTint="80"/>
        </w:rPr>
        <w:t xml:space="preserve">A simpler way of getting the same results would be to apply the adder at the ‘Fixed charges’ stage. This would avoid the need to make any changes to subsequent sheets, or to the EDCM. </w:t>
      </w:r>
    </w:p>
    <w:p w14:paraId="38A13B70" w14:textId="77777777" w:rsidR="00E463FA" w:rsidRPr="00E463FA" w:rsidRDefault="00E463FA" w:rsidP="00E463FA">
      <w:pPr>
        <w:ind w:left="720"/>
        <w:rPr>
          <w:b/>
          <w:bCs/>
          <w:color w:val="7F7F7F" w:themeColor="text1" w:themeTint="80"/>
          <w:u w:val="single"/>
        </w:rPr>
      </w:pPr>
      <w:r w:rsidRPr="00E463FA">
        <w:rPr>
          <w:b/>
          <w:bCs/>
          <w:color w:val="7F7F7F" w:themeColor="text1" w:themeTint="80"/>
          <w:u w:val="single"/>
        </w:rPr>
        <w:t>Interactions with DCP395 &amp; an alternative solution</w:t>
      </w:r>
    </w:p>
    <w:p w14:paraId="1C71F97A" w14:textId="77777777" w:rsidR="00E463FA" w:rsidRPr="00E463FA" w:rsidRDefault="00E463FA" w:rsidP="00E463FA">
      <w:pPr>
        <w:numPr>
          <w:ilvl w:val="0"/>
          <w:numId w:val="20"/>
        </w:numPr>
        <w:ind w:left="1440"/>
        <w:rPr>
          <w:color w:val="7F7F7F" w:themeColor="text1" w:themeTint="80"/>
        </w:rPr>
      </w:pPr>
      <w:r w:rsidRPr="00E463FA">
        <w:rPr>
          <w:color w:val="7F7F7F" w:themeColor="text1" w:themeTint="80"/>
        </w:rPr>
        <w:t xml:space="preserve">The working group has questioned how their initial solution interacts with the allocation of smart meter communication licence costs within LDNO tariffs – as introduced by DCP395. </w:t>
      </w:r>
    </w:p>
    <w:p w14:paraId="5B7C833A" w14:textId="77777777" w:rsidR="00E463FA" w:rsidRPr="00E463FA" w:rsidRDefault="00E463FA" w:rsidP="00E463FA">
      <w:pPr>
        <w:numPr>
          <w:ilvl w:val="0"/>
          <w:numId w:val="20"/>
        </w:numPr>
        <w:ind w:left="1440"/>
        <w:rPr>
          <w:color w:val="7F7F7F" w:themeColor="text1" w:themeTint="80"/>
        </w:rPr>
      </w:pPr>
      <w:r w:rsidRPr="00E463FA">
        <w:rPr>
          <w:color w:val="7F7F7F" w:themeColor="text1" w:themeTint="80"/>
        </w:rPr>
        <w:t xml:space="preserve">The initial solution does not interact with any of the calculations in the PCDM. The two could co-exist. </w:t>
      </w:r>
    </w:p>
    <w:p w14:paraId="52C333F7" w14:textId="77777777" w:rsidR="00E463FA" w:rsidRPr="00E463FA" w:rsidRDefault="00E463FA" w:rsidP="00E463FA">
      <w:pPr>
        <w:numPr>
          <w:ilvl w:val="0"/>
          <w:numId w:val="20"/>
        </w:numPr>
        <w:ind w:left="1440"/>
        <w:rPr>
          <w:color w:val="7F7F7F" w:themeColor="text1" w:themeTint="80"/>
        </w:rPr>
      </w:pPr>
      <w:r w:rsidRPr="00E463FA">
        <w:rPr>
          <w:color w:val="7F7F7F" w:themeColor="text1" w:themeTint="80"/>
        </w:rPr>
        <w:t xml:space="preserve">However, I think DCP474 weakens the logic for DCP395 and could remove the need for it altogether by tweaking the initial solution. </w:t>
      </w:r>
    </w:p>
    <w:p w14:paraId="25AD7A27" w14:textId="77777777" w:rsidR="00E463FA" w:rsidRPr="00E463FA" w:rsidRDefault="00E463FA" w:rsidP="00E463FA">
      <w:pPr>
        <w:numPr>
          <w:ilvl w:val="0"/>
          <w:numId w:val="20"/>
        </w:numPr>
        <w:ind w:left="1440"/>
        <w:rPr>
          <w:color w:val="7F7F7F" w:themeColor="text1" w:themeTint="80"/>
        </w:rPr>
      </w:pPr>
      <w:r w:rsidRPr="00E463FA">
        <w:rPr>
          <w:color w:val="7F7F7F" w:themeColor="text1" w:themeTint="80"/>
        </w:rPr>
        <w:t xml:space="preserve">The cover pack for this request states that </w:t>
      </w:r>
      <w:r w:rsidRPr="00E463FA">
        <w:rPr>
          <w:i/>
          <w:iCs/>
          <w:color w:val="7F7F7F" w:themeColor="text1" w:themeTint="80"/>
        </w:rPr>
        <w:t>“Members questioned whether the proposed fixed adder should apply to both All-The-Way tariffs and LDNO tariffs, or whether recovery should occur solely through All-The-Way tariffs”.</w:t>
      </w:r>
      <w:r w:rsidRPr="00E463FA">
        <w:rPr>
          <w:color w:val="7F7F7F" w:themeColor="text1" w:themeTint="80"/>
        </w:rPr>
        <w:t xml:space="preserve"> </w:t>
      </w:r>
    </w:p>
    <w:p w14:paraId="0B33E178" w14:textId="77777777" w:rsidR="00E463FA" w:rsidRPr="00E463FA" w:rsidRDefault="00E463FA" w:rsidP="00E463FA">
      <w:pPr>
        <w:numPr>
          <w:ilvl w:val="0"/>
          <w:numId w:val="20"/>
        </w:numPr>
        <w:ind w:left="1440"/>
        <w:rPr>
          <w:color w:val="7F7F7F" w:themeColor="text1" w:themeTint="80"/>
        </w:rPr>
      </w:pPr>
      <w:r w:rsidRPr="00E463FA">
        <w:rPr>
          <w:color w:val="7F7F7F" w:themeColor="text1" w:themeTint="80"/>
        </w:rPr>
        <w:lastRenderedPageBreak/>
        <w:t xml:space="preserve">If the proposed fixed adder applied solely to All-The-Way tariffs, then I think DCP395 would become redundant. LDNOs could recover smart meter communication licence costs precisely – making the approximate approach currently applied in the PCDM unnecessary. </w:t>
      </w:r>
    </w:p>
    <w:p w14:paraId="605D6E04" w14:textId="77777777" w:rsidR="00E463FA" w:rsidRPr="00E463FA" w:rsidRDefault="00E463FA" w:rsidP="00E463FA">
      <w:pPr>
        <w:numPr>
          <w:ilvl w:val="0"/>
          <w:numId w:val="20"/>
        </w:numPr>
        <w:ind w:left="1440"/>
        <w:rPr>
          <w:color w:val="7F7F7F" w:themeColor="text1" w:themeTint="80"/>
        </w:rPr>
      </w:pPr>
      <w:r w:rsidRPr="00E463FA">
        <w:rPr>
          <w:color w:val="7F7F7F" w:themeColor="text1" w:themeTint="80"/>
        </w:rPr>
        <w:t xml:space="preserve">For context, DCP395 adjusted the weights given to different network levels in the PCDM to allow DNOs to recover </w:t>
      </w:r>
      <w:r w:rsidRPr="00E463FA">
        <w:rPr>
          <w:color w:val="7F7F7F" w:themeColor="text1" w:themeTint="80"/>
          <w:u w:val="single"/>
        </w:rPr>
        <w:t>roughly</w:t>
      </w:r>
      <w:r w:rsidRPr="00E463FA">
        <w:rPr>
          <w:color w:val="7F7F7F" w:themeColor="text1" w:themeTint="80"/>
        </w:rPr>
        <w:t xml:space="preserve"> the amount they owe to DCC in smart meter communication licence costs </w:t>
      </w:r>
      <w:r w:rsidRPr="00E463FA">
        <w:rPr>
          <w:color w:val="7F7F7F" w:themeColor="text1" w:themeTint="80"/>
          <w:u w:val="single"/>
        </w:rPr>
        <w:t>overall</w:t>
      </w:r>
      <w:r w:rsidRPr="00E463FA">
        <w:rPr>
          <w:color w:val="7F7F7F" w:themeColor="text1" w:themeTint="80"/>
        </w:rPr>
        <w:t xml:space="preserve">. LDNO discount percentages are an imperfect solution for recovering specific costs from specific customer categories because they are applied per network level, rather than per tariff. For instance, LDNO discounts for DCP395 apply to “Related MPANs” and “LV Site Specific” tariffs in the same way as they do to “Domestic/Non-Domestic Aggregated” tariffs. By contrast, DCP474 could give LDNOs exactly the right amount to cover licence costs. </w:t>
      </w:r>
    </w:p>
    <w:p w14:paraId="7B527CD8" w14:textId="77777777" w:rsidR="00E463FA" w:rsidRPr="00E463FA" w:rsidRDefault="00E463FA" w:rsidP="00E463FA">
      <w:pPr>
        <w:numPr>
          <w:ilvl w:val="0"/>
          <w:numId w:val="20"/>
        </w:numPr>
        <w:ind w:left="1440"/>
        <w:rPr>
          <w:color w:val="7F7F7F" w:themeColor="text1" w:themeTint="80"/>
        </w:rPr>
      </w:pPr>
      <w:r w:rsidRPr="00E463FA">
        <w:rPr>
          <w:color w:val="7F7F7F" w:themeColor="text1" w:themeTint="80"/>
        </w:rPr>
        <w:t xml:space="preserve">The alternative solution would require changes to the PCDM, but not the EDCM. </w:t>
      </w:r>
    </w:p>
    <w:p w14:paraId="75048D4C" w14:textId="77777777" w:rsidR="00E463FA" w:rsidRPr="00E463FA" w:rsidRDefault="00E463FA" w:rsidP="00E463FA">
      <w:pPr>
        <w:ind w:left="720"/>
        <w:rPr>
          <w:b/>
          <w:bCs/>
          <w:color w:val="7F7F7F" w:themeColor="text1" w:themeTint="80"/>
          <w:u w:val="single"/>
        </w:rPr>
      </w:pPr>
      <w:r w:rsidRPr="00E463FA">
        <w:rPr>
          <w:b/>
          <w:bCs/>
          <w:color w:val="7F7F7F" w:themeColor="text1" w:themeTint="80"/>
          <w:u w:val="single"/>
        </w:rPr>
        <w:t>Impacts</w:t>
      </w:r>
    </w:p>
    <w:p w14:paraId="4AAD86DB" w14:textId="77777777" w:rsidR="00E463FA" w:rsidRPr="00E463FA" w:rsidRDefault="00E463FA" w:rsidP="00E463FA">
      <w:pPr>
        <w:numPr>
          <w:ilvl w:val="0"/>
          <w:numId w:val="21"/>
        </w:numPr>
        <w:ind w:left="1440"/>
        <w:rPr>
          <w:color w:val="7F7F7F" w:themeColor="text1" w:themeTint="80"/>
        </w:rPr>
      </w:pPr>
      <w:r w:rsidRPr="00E463FA">
        <w:rPr>
          <w:color w:val="7F7F7F" w:themeColor="text1" w:themeTint="80"/>
        </w:rPr>
        <w:t xml:space="preserve">Under the working group’s initial solution with the amendment suggested above, Domestic Aggregated and Non-Domestic Aggregated no residual / band 1 customers will pay more. Other non-domestic demand customers will pay less via a lower residual. </w:t>
      </w:r>
    </w:p>
    <w:p w14:paraId="7E1B6F46" w14:textId="77777777" w:rsidR="00E463FA" w:rsidRPr="00E463FA" w:rsidRDefault="00E463FA" w:rsidP="00E463FA">
      <w:pPr>
        <w:numPr>
          <w:ilvl w:val="0"/>
          <w:numId w:val="21"/>
        </w:numPr>
        <w:ind w:left="1440"/>
        <w:rPr>
          <w:color w:val="7F7F7F" w:themeColor="text1" w:themeTint="80"/>
        </w:rPr>
      </w:pPr>
      <w:r w:rsidRPr="00E463FA">
        <w:rPr>
          <w:color w:val="7F7F7F" w:themeColor="text1" w:themeTint="80"/>
        </w:rPr>
        <w:t xml:space="preserve">The initial solution should be roughly revenue neutral for IDNOs </w:t>
      </w:r>
      <w:proofErr w:type="gramStart"/>
      <w:r w:rsidRPr="00E463FA">
        <w:rPr>
          <w:color w:val="7F7F7F" w:themeColor="text1" w:themeTint="80"/>
        </w:rPr>
        <w:t>on the whole</w:t>
      </w:r>
      <w:proofErr w:type="gramEnd"/>
      <w:r w:rsidRPr="00E463FA">
        <w:rPr>
          <w:color w:val="7F7F7F" w:themeColor="text1" w:themeTint="80"/>
        </w:rPr>
        <w:t xml:space="preserve"> (at least based on the LDNO customer numbers in DNOs’ CDCMs), but individual IDNOs may be positively or negative affected depending on the type of users on their networks. </w:t>
      </w:r>
    </w:p>
    <w:p w14:paraId="7D88C9F6" w14:textId="77777777" w:rsidR="00E463FA" w:rsidRPr="00E463FA" w:rsidRDefault="00E463FA" w:rsidP="00E463FA">
      <w:pPr>
        <w:numPr>
          <w:ilvl w:val="0"/>
          <w:numId w:val="22"/>
        </w:numPr>
        <w:ind w:left="1440"/>
        <w:rPr>
          <w:color w:val="7F7F7F" w:themeColor="text1" w:themeTint="80"/>
        </w:rPr>
      </w:pPr>
      <w:r w:rsidRPr="00E463FA">
        <w:rPr>
          <w:color w:val="7F7F7F" w:themeColor="text1" w:themeTint="80"/>
        </w:rPr>
        <w:t xml:space="preserve">The impact of the alternative solution should be </w:t>
      </w:r>
      <w:proofErr w:type="gramStart"/>
      <w:r w:rsidRPr="00E463FA">
        <w:rPr>
          <w:color w:val="7F7F7F" w:themeColor="text1" w:themeTint="80"/>
        </w:rPr>
        <w:t>similar to</w:t>
      </w:r>
      <w:proofErr w:type="gramEnd"/>
      <w:r w:rsidRPr="00E463FA">
        <w:rPr>
          <w:color w:val="7F7F7F" w:themeColor="text1" w:themeTint="80"/>
        </w:rPr>
        <w:t xml:space="preserve"> the working group’s initial solution with respect to all the way tariffs. With respect to IDNO net revenues it should increase the value retained with respect to Domestic Aggregated customers and reduce the value retained from other final demand customers – more precisely aligning with the smart meter communication licence costs apportioned to IDNOs. </w:t>
      </w:r>
    </w:p>
    <w:p w14:paraId="044699FA" w14:textId="39377111" w:rsidR="004264B6" w:rsidRPr="00E463FA" w:rsidRDefault="00E463FA" w:rsidP="00E463FA">
      <w:pPr>
        <w:numPr>
          <w:ilvl w:val="0"/>
          <w:numId w:val="22"/>
        </w:numPr>
        <w:ind w:left="1440"/>
        <w:rPr>
          <w:color w:val="7F7F7F" w:themeColor="text1" w:themeTint="80"/>
        </w:rPr>
      </w:pPr>
      <w:r w:rsidRPr="00E463FA">
        <w:rPr>
          <w:color w:val="7F7F7F" w:themeColor="text1" w:themeTint="80"/>
        </w:rPr>
        <w:t xml:space="preserve">As the working group suspected, the #REF! errors in its impact assessment for LPN are triggered by the negative residuals issue, which we could suggest a work-around for. </w:t>
      </w:r>
      <w:r w:rsidRPr="00E463FA">
        <w:rPr>
          <w:rFonts w:ascii="Arial Nova" w:hAnsi="Arial Nova"/>
          <w:color w:val="0070C0"/>
        </w:rPr>
        <w:t xml:space="preserve"> </w:t>
      </w:r>
    </w:p>
    <w:sectPr w:rsidR="004264B6" w:rsidRPr="00E463FA" w:rsidSect="005243D8">
      <w:headerReference w:type="default" r:id="rId12"/>
      <w:footerReference w:type="default" r:id="rId13"/>
      <w:pgSz w:w="11906" w:h="16838"/>
      <w:pgMar w:top="2127" w:right="1080" w:bottom="1135" w:left="1080"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D6369" w14:textId="77777777" w:rsidR="00BE7F08" w:rsidRDefault="00BE7F08" w:rsidP="004264B6">
      <w:pPr>
        <w:spacing w:after="0" w:line="240" w:lineRule="auto"/>
      </w:pPr>
      <w:r>
        <w:separator/>
      </w:r>
    </w:p>
  </w:endnote>
  <w:endnote w:type="continuationSeparator" w:id="0">
    <w:p w14:paraId="3025A3EA" w14:textId="77777777" w:rsidR="00BE7F08" w:rsidRDefault="00BE7F08" w:rsidP="00426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53BB" w14:textId="7FAEE0BD" w:rsidR="00F6791F" w:rsidRPr="00DE2FF1" w:rsidRDefault="00E463FA" w:rsidP="00E71C5E">
    <w:pPr>
      <w:pStyle w:val="Footer"/>
      <w:jc w:val="center"/>
      <w:rPr>
        <w:sz w:val="20"/>
      </w:rPr>
    </w:pPr>
    <w:r>
      <w:rPr>
        <w:sz w:val="20"/>
      </w:rPr>
      <w:t>30</w:t>
    </w:r>
    <w:r w:rsidR="00143B7D">
      <w:rPr>
        <w:sz w:val="20"/>
      </w:rPr>
      <w:t xml:space="preserve"> July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3B583" w14:textId="77777777" w:rsidR="00BE7F08" w:rsidRDefault="00BE7F08" w:rsidP="004264B6">
      <w:pPr>
        <w:spacing w:after="0" w:line="240" w:lineRule="auto"/>
      </w:pPr>
      <w:r>
        <w:separator/>
      </w:r>
    </w:p>
  </w:footnote>
  <w:footnote w:type="continuationSeparator" w:id="0">
    <w:p w14:paraId="13A3BC4C" w14:textId="77777777" w:rsidR="00BE7F08" w:rsidRDefault="00BE7F08" w:rsidP="00426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1F1A" w14:textId="77777777" w:rsidR="004264B6" w:rsidRDefault="005360B4">
    <w:pPr>
      <w:pStyle w:val="Header"/>
    </w:pPr>
    <w:r w:rsidRPr="00604522">
      <w:rPr>
        <w:noProof/>
        <w:lang w:eastAsia="en-GB"/>
      </w:rPr>
      <w:drawing>
        <wp:anchor distT="0" distB="0" distL="114300" distR="114300" simplePos="0" relativeHeight="251659264" behindDoc="0" locked="0" layoutInCell="1" allowOverlap="1" wp14:anchorId="58586E23" wp14:editId="66404656">
          <wp:simplePos x="0" y="0"/>
          <wp:positionH relativeFrom="margin">
            <wp:posOffset>-330200</wp:posOffset>
          </wp:positionH>
          <wp:positionV relativeFrom="paragraph">
            <wp:posOffset>-430530</wp:posOffset>
          </wp:positionV>
          <wp:extent cx="6842760" cy="152971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4264B6">
      <w:rPr>
        <w:noProof/>
        <w:sz w:val="20"/>
        <w:szCs w:val="20"/>
        <w:lang w:eastAsia="en-GB"/>
      </w:rPr>
      <w:drawing>
        <wp:inline distT="0" distB="0" distL="0" distR="0" wp14:anchorId="5B2DD522" wp14:editId="08565E49">
          <wp:extent cx="1979630" cy="628650"/>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srcRect/>
                  <a:stretch>
                    <a:fillRect/>
                  </a:stretch>
                </pic:blipFill>
                <pic:spPr bwMode="auto">
                  <a:xfrm>
                    <a:off x="0" y="0"/>
                    <a:ext cx="1982629" cy="62960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6015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5F54E0"/>
    <w:multiLevelType w:val="hybridMultilevel"/>
    <w:tmpl w:val="02BAE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E2073D"/>
    <w:multiLevelType w:val="hybridMultilevel"/>
    <w:tmpl w:val="B8E499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D632FC"/>
    <w:multiLevelType w:val="hybridMultilevel"/>
    <w:tmpl w:val="5C441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4221C2"/>
    <w:multiLevelType w:val="hybridMultilevel"/>
    <w:tmpl w:val="34B0D384"/>
    <w:lvl w:ilvl="0" w:tplc="FFFFFFFF">
      <w:start w:val="1"/>
      <w:numFmt w:val="bullet"/>
      <w:lvlText w:val="•"/>
      <w:lvlJc w:val="left"/>
    </w:lvl>
    <w:lvl w:ilvl="1" w:tplc="08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9586963"/>
    <w:multiLevelType w:val="hybridMultilevel"/>
    <w:tmpl w:val="74D478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13761E"/>
    <w:multiLevelType w:val="hybridMultilevel"/>
    <w:tmpl w:val="C950B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87D7AB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6756B41"/>
    <w:multiLevelType w:val="hybridMultilevel"/>
    <w:tmpl w:val="324C1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B37B71"/>
    <w:multiLevelType w:val="hybridMultilevel"/>
    <w:tmpl w:val="054454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4AAA13CC"/>
    <w:multiLevelType w:val="hybridMultilevel"/>
    <w:tmpl w:val="36B2D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F83BA4"/>
    <w:multiLevelType w:val="hybridMultilevel"/>
    <w:tmpl w:val="5D8E6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B349C7"/>
    <w:multiLevelType w:val="hybridMultilevel"/>
    <w:tmpl w:val="3B10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95E43E4"/>
    <w:multiLevelType w:val="hybridMultilevel"/>
    <w:tmpl w:val="56AC9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F44C0A"/>
    <w:multiLevelType w:val="hybridMultilevel"/>
    <w:tmpl w:val="CBF4F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45269C2"/>
    <w:multiLevelType w:val="hybridMultilevel"/>
    <w:tmpl w:val="F0325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60680780">
    <w:abstractNumId w:val="3"/>
  </w:num>
  <w:num w:numId="2" w16cid:durableId="382025362">
    <w:abstractNumId w:val="5"/>
  </w:num>
  <w:num w:numId="3" w16cid:durableId="1794670118">
    <w:abstractNumId w:val="16"/>
  </w:num>
  <w:num w:numId="4" w16cid:durableId="733239724">
    <w:abstractNumId w:val="17"/>
  </w:num>
  <w:num w:numId="5" w16cid:durableId="25831276">
    <w:abstractNumId w:val="8"/>
  </w:num>
  <w:num w:numId="6" w16cid:durableId="1455102716">
    <w:abstractNumId w:val="10"/>
  </w:num>
  <w:num w:numId="7" w16cid:durableId="703097098">
    <w:abstractNumId w:val="17"/>
  </w:num>
  <w:num w:numId="8" w16cid:durableId="752119570">
    <w:abstractNumId w:val="17"/>
  </w:num>
  <w:num w:numId="9" w16cid:durableId="592397304">
    <w:abstractNumId w:val="17"/>
  </w:num>
  <w:num w:numId="10" w16cid:durableId="973172816">
    <w:abstractNumId w:val="2"/>
  </w:num>
  <w:num w:numId="11" w16cid:durableId="1141651012">
    <w:abstractNumId w:val="9"/>
  </w:num>
  <w:num w:numId="12" w16cid:durableId="1559130201">
    <w:abstractNumId w:val="13"/>
  </w:num>
  <w:num w:numId="13" w16cid:durableId="1665695476">
    <w:abstractNumId w:val="6"/>
  </w:num>
  <w:num w:numId="14" w16cid:durableId="621689044">
    <w:abstractNumId w:val="11"/>
  </w:num>
  <w:num w:numId="15" w16cid:durableId="293097055">
    <w:abstractNumId w:val="13"/>
  </w:num>
  <w:num w:numId="16" w16cid:durableId="1316257621">
    <w:abstractNumId w:val="0"/>
  </w:num>
  <w:num w:numId="17" w16cid:durableId="615063235">
    <w:abstractNumId w:val="7"/>
  </w:num>
  <w:num w:numId="18" w16cid:durableId="1435436916">
    <w:abstractNumId w:val="4"/>
  </w:num>
  <w:num w:numId="19" w16cid:durableId="1298947768">
    <w:abstractNumId w:val="12"/>
    <w:lvlOverride w:ilvl="0"/>
    <w:lvlOverride w:ilvl="1"/>
    <w:lvlOverride w:ilvl="2"/>
    <w:lvlOverride w:ilvl="3"/>
    <w:lvlOverride w:ilvl="4"/>
    <w:lvlOverride w:ilvl="5"/>
    <w:lvlOverride w:ilvl="6"/>
    <w:lvlOverride w:ilvl="7"/>
    <w:lvlOverride w:ilvl="8"/>
  </w:num>
  <w:num w:numId="20" w16cid:durableId="1094858769">
    <w:abstractNumId w:val="14"/>
    <w:lvlOverride w:ilvl="0"/>
    <w:lvlOverride w:ilvl="1"/>
    <w:lvlOverride w:ilvl="2"/>
    <w:lvlOverride w:ilvl="3"/>
    <w:lvlOverride w:ilvl="4"/>
    <w:lvlOverride w:ilvl="5"/>
    <w:lvlOverride w:ilvl="6"/>
    <w:lvlOverride w:ilvl="7"/>
    <w:lvlOverride w:ilvl="8"/>
  </w:num>
  <w:num w:numId="21" w16cid:durableId="1567571636">
    <w:abstractNumId w:val="15"/>
    <w:lvlOverride w:ilvl="0"/>
    <w:lvlOverride w:ilvl="1"/>
    <w:lvlOverride w:ilvl="2"/>
    <w:lvlOverride w:ilvl="3"/>
    <w:lvlOverride w:ilvl="4"/>
    <w:lvlOverride w:ilvl="5"/>
    <w:lvlOverride w:ilvl="6"/>
    <w:lvlOverride w:ilvl="7"/>
    <w:lvlOverride w:ilvl="8"/>
  </w:num>
  <w:num w:numId="22" w16cid:durableId="36668493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formsDesig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AC7"/>
    <w:rsid w:val="0000692F"/>
    <w:rsid w:val="0001133C"/>
    <w:rsid w:val="00020046"/>
    <w:rsid w:val="00024471"/>
    <w:rsid w:val="000264A8"/>
    <w:rsid w:val="0006704F"/>
    <w:rsid w:val="00076B64"/>
    <w:rsid w:val="00081778"/>
    <w:rsid w:val="00083BB1"/>
    <w:rsid w:val="00087AB5"/>
    <w:rsid w:val="000B2A27"/>
    <w:rsid w:val="000B2BAD"/>
    <w:rsid w:val="000B3732"/>
    <w:rsid w:val="000C657B"/>
    <w:rsid w:val="000D1D12"/>
    <w:rsid w:val="000D419A"/>
    <w:rsid w:val="000E6E84"/>
    <w:rsid w:val="000F2A05"/>
    <w:rsid w:val="000F6BC0"/>
    <w:rsid w:val="000F76E8"/>
    <w:rsid w:val="00101D12"/>
    <w:rsid w:val="00106B68"/>
    <w:rsid w:val="00124D68"/>
    <w:rsid w:val="00132DDE"/>
    <w:rsid w:val="001423D1"/>
    <w:rsid w:val="00143B7D"/>
    <w:rsid w:val="00150351"/>
    <w:rsid w:val="00153364"/>
    <w:rsid w:val="0017387A"/>
    <w:rsid w:val="001A1910"/>
    <w:rsid w:val="001A5C2E"/>
    <w:rsid w:val="001A6AFB"/>
    <w:rsid w:val="001B1828"/>
    <w:rsid w:val="001B5EFC"/>
    <w:rsid w:val="001C3063"/>
    <w:rsid w:val="001D675F"/>
    <w:rsid w:val="001E4E97"/>
    <w:rsid w:val="001F3B47"/>
    <w:rsid w:val="00204F49"/>
    <w:rsid w:val="00205C9A"/>
    <w:rsid w:val="00211DC6"/>
    <w:rsid w:val="0021208A"/>
    <w:rsid w:val="00221FCA"/>
    <w:rsid w:val="0024374D"/>
    <w:rsid w:val="002501A2"/>
    <w:rsid w:val="00250A0C"/>
    <w:rsid w:val="00254F13"/>
    <w:rsid w:val="00270728"/>
    <w:rsid w:val="002708C5"/>
    <w:rsid w:val="002753D4"/>
    <w:rsid w:val="00281140"/>
    <w:rsid w:val="00282014"/>
    <w:rsid w:val="00283C92"/>
    <w:rsid w:val="00292FA8"/>
    <w:rsid w:val="00293088"/>
    <w:rsid w:val="002A0AC7"/>
    <w:rsid w:val="002A430C"/>
    <w:rsid w:val="002B030B"/>
    <w:rsid w:val="002B1004"/>
    <w:rsid w:val="002B1CD6"/>
    <w:rsid w:val="002B2D81"/>
    <w:rsid w:val="002C76C8"/>
    <w:rsid w:val="002E2E8C"/>
    <w:rsid w:val="002E48EF"/>
    <w:rsid w:val="003044F3"/>
    <w:rsid w:val="00307E2A"/>
    <w:rsid w:val="00307E3D"/>
    <w:rsid w:val="0031202E"/>
    <w:rsid w:val="00313F32"/>
    <w:rsid w:val="0031457B"/>
    <w:rsid w:val="003162A2"/>
    <w:rsid w:val="0031690B"/>
    <w:rsid w:val="003179C6"/>
    <w:rsid w:val="00340151"/>
    <w:rsid w:val="00340C15"/>
    <w:rsid w:val="003475E0"/>
    <w:rsid w:val="003624E0"/>
    <w:rsid w:val="00377978"/>
    <w:rsid w:val="00381E9B"/>
    <w:rsid w:val="00392ADA"/>
    <w:rsid w:val="003971B2"/>
    <w:rsid w:val="003A2D63"/>
    <w:rsid w:val="003B6E76"/>
    <w:rsid w:val="003C764D"/>
    <w:rsid w:val="003D5729"/>
    <w:rsid w:val="003E45CD"/>
    <w:rsid w:val="003E79EE"/>
    <w:rsid w:val="003F4308"/>
    <w:rsid w:val="00405AB4"/>
    <w:rsid w:val="0041682F"/>
    <w:rsid w:val="00421EB4"/>
    <w:rsid w:val="004238D1"/>
    <w:rsid w:val="00426371"/>
    <w:rsid w:val="004264B6"/>
    <w:rsid w:val="00436D19"/>
    <w:rsid w:val="00460FAF"/>
    <w:rsid w:val="00467093"/>
    <w:rsid w:val="00482F5E"/>
    <w:rsid w:val="00483A43"/>
    <w:rsid w:val="004855FC"/>
    <w:rsid w:val="004871FE"/>
    <w:rsid w:val="00496FC4"/>
    <w:rsid w:val="004978AB"/>
    <w:rsid w:val="004B1366"/>
    <w:rsid w:val="004C4498"/>
    <w:rsid w:val="004E6E34"/>
    <w:rsid w:val="004F5443"/>
    <w:rsid w:val="004F5A09"/>
    <w:rsid w:val="0051630E"/>
    <w:rsid w:val="00516400"/>
    <w:rsid w:val="00517E17"/>
    <w:rsid w:val="00523D91"/>
    <w:rsid w:val="005243D8"/>
    <w:rsid w:val="00525175"/>
    <w:rsid w:val="00531B03"/>
    <w:rsid w:val="005360B4"/>
    <w:rsid w:val="00536AE6"/>
    <w:rsid w:val="00541B5B"/>
    <w:rsid w:val="00546933"/>
    <w:rsid w:val="00547FCB"/>
    <w:rsid w:val="0055129F"/>
    <w:rsid w:val="0055755C"/>
    <w:rsid w:val="00566A1D"/>
    <w:rsid w:val="00584209"/>
    <w:rsid w:val="005A2A7C"/>
    <w:rsid w:val="005A567F"/>
    <w:rsid w:val="005A6B8A"/>
    <w:rsid w:val="005B0132"/>
    <w:rsid w:val="005C0E45"/>
    <w:rsid w:val="005C3357"/>
    <w:rsid w:val="005F2D34"/>
    <w:rsid w:val="005F40BC"/>
    <w:rsid w:val="00611BB1"/>
    <w:rsid w:val="00613E81"/>
    <w:rsid w:val="0061636F"/>
    <w:rsid w:val="00616C17"/>
    <w:rsid w:val="00622499"/>
    <w:rsid w:val="006233D5"/>
    <w:rsid w:val="0063503B"/>
    <w:rsid w:val="00645B3B"/>
    <w:rsid w:val="00650465"/>
    <w:rsid w:val="0065325A"/>
    <w:rsid w:val="00664185"/>
    <w:rsid w:val="00664F44"/>
    <w:rsid w:val="00666DC2"/>
    <w:rsid w:val="00671385"/>
    <w:rsid w:val="00671FEC"/>
    <w:rsid w:val="00676DA3"/>
    <w:rsid w:val="006B0E28"/>
    <w:rsid w:val="006B0FEE"/>
    <w:rsid w:val="006B6A82"/>
    <w:rsid w:val="006C718A"/>
    <w:rsid w:val="006E3B42"/>
    <w:rsid w:val="006E3DCD"/>
    <w:rsid w:val="006E5A81"/>
    <w:rsid w:val="006E7A97"/>
    <w:rsid w:val="006F15FF"/>
    <w:rsid w:val="006F4C13"/>
    <w:rsid w:val="00703597"/>
    <w:rsid w:val="007078C6"/>
    <w:rsid w:val="00713195"/>
    <w:rsid w:val="00734FBD"/>
    <w:rsid w:val="007374B3"/>
    <w:rsid w:val="007406E2"/>
    <w:rsid w:val="007567AF"/>
    <w:rsid w:val="00762189"/>
    <w:rsid w:val="007663BC"/>
    <w:rsid w:val="0077399F"/>
    <w:rsid w:val="007851A5"/>
    <w:rsid w:val="00785899"/>
    <w:rsid w:val="0079197D"/>
    <w:rsid w:val="0079591D"/>
    <w:rsid w:val="007A1D47"/>
    <w:rsid w:val="007A39EC"/>
    <w:rsid w:val="007A627A"/>
    <w:rsid w:val="007B3602"/>
    <w:rsid w:val="007C2D23"/>
    <w:rsid w:val="007D01F6"/>
    <w:rsid w:val="007D433E"/>
    <w:rsid w:val="007D6043"/>
    <w:rsid w:val="007E1ECC"/>
    <w:rsid w:val="007E3072"/>
    <w:rsid w:val="007F0A49"/>
    <w:rsid w:val="007F261A"/>
    <w:rsid w:val="007F7678"/>
    <w:rsid w:val="0081044C"/>
    <w:rsid w:val="0081509F"/>
    <w:rsid w:val="00833F1D"/>
    <w:rsid w:val="0083507A"/>
    <w:rsid w:val="008373D9"/>
    <w:rsid w:val="0084134A"/>
    <w:rsid w:val="0084563D"/>
    <w:rsid w:val="008467E8"/>
    <w:rsid w:val="0085739B"/>
    <w:rsid w:val="00881F65"/>
    <w:rsid w:val="008822AD"/>
    <w:rsid w:val="00885E4B"/>
    <w:rsid w:val="008876A2"/>
    <w:rsid w:val="00897434"/>
    <w:rsid w:val="008A462F"/>
    <w:rsid w:val="008A7792"/>
    <w:rsid w:val="008D3C7B"/>
    <w:rsid w:val="008D69DA"/>
    <w:rsid w:val="008F0F01"/>
    <w:rsid w:val="009012D5"/>
    <w:rsid w:val="00906469"/>
    <w:rsid w:val="00915121"/>
    <w:rsid w:val="00940CB1"/>
    <w:rsid w:val="00947219"/>
    <w:rsid w:val="009501A4"/>
    <w:rsid w:val="00951026"/>
    <w:rsid w:val="0096273F"/>
    <w:rsid w:val="009629AA"/>
    <w:rsid w:val="00977D24"/>
    <w:rsid w:val="00982817"/>
    <w:rsid w:val="009C5241"/>
    <w:rsid w:val="009D2375"/>
    <w:rsid w:val="009E222A"/>
    <w:rsid w:val="009E44CA"/>
    <w:rsid w:val="009E575A"/>
    <w:rsid w:val="009F0E77"/>
    <w:rsid w:val="009F7CE4"/>
    <w:rsid w:val="00A0386A"/>
    <w:rsid w:val="00A075BD"/>
    <w:rsid w:val="00A201FB"/>
    <w:rsid w:val="00A26601"/>
    <w:rsid w:val="00A301B1"/>
    <w:rsid w:val="00A5060F"/>
    <w:rsid w:val="00A5475F"/>
    <w:rsid w:val="00A60C3B"/>
    <w:rsid w:val="00A63ADD"/>
    <w:rsid w:val="00A64FC0"/>
    <w:rsid w:val="00A665EF"/>
    <w:rsid w:val="00A73187"/>
    <w:rsid w:val="00A80D79"/>
    <w:rsid w:val="00A849DB"/>
    <w:rsid w:val="00AC256C"/>
    <w:rsid w:val="00AC7685"/>
    <w:rsid w:val="00AC7F97"/>
    <w:rsid w:val="00AD2CF6"/>
    <w:rsid w:val="00AD7D5F"/>
    <w:rsid w:val="00AE2044"/>
    <w:rsid w:val="00AF31F2"/>
    <w:rsid w:val="00AF3832"/>
    <w:rsid w:val="00AF5BC7"/>
    <w:rsid w:val="00B03529"/>
    <w:rsid w:val="00B15431"/>
    <w:rsid w:val="00B30466"/>
    <w:rsid w:val="00B377AC"/>
    <w:rsid w:val="00B46E6C"/>
    <w:rsid w:val="00B577DE"/>
    <w:rsid w:val="00B73B17"/>
    <w:rsid w:val="00B8047D"/>
    <w:rsid w:val="00B84A89"/>
    <w:rsid w:val="00B87313"/>
    <w:rsid w:val="00B93539"/>
    <w:rsid w:val="00B9438A"/>
    <w:rsid w:val="00BA5F59"/>
    <w:rsid w:val="00BB35AF"/>
    <w:rsid w:val="00BC2324"/>
    <w:rsid w:val="00BC3C7D"/>
    <w:rsid w:val="00BC5DCB"/>
    <w:rsid w:val="00BE2323"/>
    <w:rsid w:val="00BE7F08"/>
    <w:rsid w:val="00BF74E4"/>
    <w:rsid w:val="00C1643C"/>
    <w:rsid w:val="00C22381"/>
    <w:rsid w:val="00C4230B"/>
    <w:rsid w:val="00C4681D"/>
    <w:rsid w:val="00C538DC"/>
    <w:rsid w:val="00C54547"/>
    <w:rsid w:val="00C603CB"/>
    <w:rsid w:val="00C6441D"/>
    <w:rsid w:val="00CA18E6"/>
    <w:rsid w:val="00CA5CD3"/>
    <w:rsid w:val="00CB1125"/>
    <w:rsid w:val="00CB2867"/>
    <w:rsid w:val="00CB6F13"/>
    <w:rsid w:val="00CC468D"/>
    <w:rsid w:val="00CD04E4"/>
    <w:rsid w:val="00CE5692"/>
    <w:rsid w:val="00D06B67"/>
    <w:rsid w:val="00D101F4"/>
    <w:rsid w:val="00D16D56"/>
    <w:rsid w:val="00D175B5"/>
    <w:rsid w:val="00D21F0E"/>
    <w:rsid w:val="00D23B5E"/>
    <w:rsid w:val="00D32999"/>
    <w:rsid w:val="00D46422"/>
    <w:rsid w:val="00D63DF3"/>
    <w:rsid w:val="00D64E87"/>
    <w:rsid w:val="00D67EC0"/>
    <w:rsid w:val="00D911B9"/>
    <w:rsid w:val="00D9212F"/>
    <w:rsid w:val="00D96015"/>
    <w:rsid w:val="00D97990"/>
    <w:rsid w:val="00DA7789"/>
    <w:rsid w:val="00DA7863"/>
    <w:rsid w:val="00DC4838"/>
    <w:rsid w:val="00DC5244"/>
    <w:rsid w:val="00DC6117"/>
    <w:rsid w:val="00DC6856"/>
    <w:rsid w:val="00DD145D"/>
    <w:rsid w:val="00DD6253"/>
    <w:rsid w:val="00DE0713"/>
    <w:rsid w:val="00DE2FF1"/>
    <w:rsid w:val="00DE574A"/>
    <w:rsid w:val="00DF0DEE"/>
    <w:rsid w:val="00E023EA"/>
    <w:rsid w:val="00E02E69"/>
    <w:rsid w:val="00E0349F"/>
    <w:rsid w:val="00E05181"/>
    <w:rsid w:val="00E10267"/>
    <w:rsid w:val="00E11569"/>
    <w:rsid w:val="00E16EE9"/>
    <w:rsid w:val="00E22BB9"/>
    <w:rsid w:val="00E23FEA"/>
    <w:rsid w:val="00E277CA"/>
    <w:rsid w:val="00E27A60"/>
    <w:rsid w:val="00E31479"/>
    <w:rsid w:val="00E35C85"/>
    <w:rsid w:val="00E463FA"/>
    <w:rsid w:val="00E50E8A"/>
    <w:rsid w:val="00E70440"/>
    <w:rsid w:val="00E71C5E"/>
    <w:rsid w:val="00E7586D"/>
    <w:rsid w:val="00E86062"/>
    <w:rsid w:val="00EA6311"/>
    <w:rsid w:val="00ED14C6"/>
    <w:rsid w:val="00ED4697"/>
    <w:rsid w:val="00ED5581"/>
    <w:rsid w:val="00ED579F"/>
    <w:rsid w:val="00EF61E5"/>
    <w:rsid w:val="00F001DA"/>
    <w:rsid w:val="00F00A9D"/>
    <w:rsid w:val="00F0567C"/>
    <w:rsid w:val="00F16D80"/>
    <w:rsid w:val="00F22A6B"/>
    <w:rsid w:val="00F24FB7"/>
    <w:rsid w:val="00F40C79"/>
    <w:rsid w:val="00F429E2"/>
    <w:rsid w:val="00F52428"/>
    <w:rsid w:val="00F52F4A"/>
    <w:rsid w:val="00F541FB"/>
    <w:rsid w:val="00F5622F"/>
    <w:rsid w:val="00F5771C"/>
    <w:rsid w:val="00F6791F"/>
    <w:rsid w:val="00FB1DA5"/>
    <w:rsid w:val="00FB21B3"/>
    <w:rsid w:val="00FC3952"/>
    <w:rsid w:val="00FC6F95"/>
    <w:rsid w:val="00FD6C8B"/>
    <w:rsid w:val="00FE3393"/>
    <w:rsid w:val="00FE45A0"/>
    <w:rsid w:val="00FE60D1"/>
    <w:rsid w:val="00FF4DF3"/>
    <w:rsid w:val="00FF71CC"/>
    <w:rsid w:val="0658B1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E65330"/>
  <w15:docId w15:val="{583E745F-AB2F-4BE2-A456-C21F874A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8EF"/>
  </w:style>
  <w:style w:type="paragraph" w:styleId="Heading1">
    <w:name w:val="heading 1"/>
    <w:basedOn w:val="Normal"/>
    <w:next w:val="Normal"/>
    <w:link w:val="Heading1Char"/>
    <w:uiPriority w:val="9"/>
    <w:qFormat/>
    <w:rsid w:val="00D46422"/>
    <w:pPr>
      <w:keepNext/>
      <w:tabs>
        <w:tab w:val="left" w:pos="1605"/>
      </w:tabs>
      <w:outlineLvl w:val="0"/>
    </w:pPr>
  </w:style>
  <w:style w:type="paragraph" w:styleId="Heading2">
    <w:name w:val="heading 2"/>
    <w:basedOn w:val="Normal"/>
    <w:next w:val="Normal"/>
    <w:link w:val="Heading2Char"/>
    <w:uiPriority w:val="9"/>
    <w:semiHidden/>
    <w:unhideWhenUsed/>
    <w:qFormat/>
    <w:rsid w:val="003169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6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64B6"/>
  </w:style>
  <w:style w:type="paragraph" w:styleId="Footer">
    <w:name w:val="footer"/>
    <w:basedOn w:val="Normal"/>
    <w:link w:val="FooterChar"/>
    <w:uiPriority w:val="99"/>
    <w:unhideWhenUsed/>
    <w:rsid w:val="00426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64B6"/>
  </w:style>
  <w:style w:type="paragraph" w:styleId="BalloonText">
    <w:name w:val="Balloon Text"/>
    <w:basedOn w:val="Normal"/>
    <w:link w:val="BalloonTextChar"/>
    <w:uiPriority w:val="99"/>
    <w:semiHidden/>
    <w:unhideWhenUsed/>
    <w:rsid w:val="004264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4B6"/>
    <w:rPr>
      <w:rFonts w:ascii="Tahoma" w:hAnsi="Tahoma" w:cs="Tahoma"/>
      <w:sz w:val="16"/>
      <w:szCs w:val="16"/>
    </w:rPr>
  </w:style>
  <w:style w:type="table" w:styleId="TableGrid">
    <w:name w:val="Table Grid"/>
    <w:basedOn w:val="TableNormal"/>
    <w:uiPriority w:val="59"/>
    <w:rsid w:val="00426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TblText1">
    <w:name w:val="GS Tbl Text 1"/>
    <w:basedOn w:val="Normal"/>
    <w:qFormat/>
    <w:rsid w:val="00DF0DEE"/>
    <w:pPr>
      <w:spacing w:before="60" w:after="120" w:line="240" w:lineRule="auto"/>
    </w:pPr>
    <w:rPr>
      <w:rFonts w:ascii="Calibri" w:hAnsi="Calibri"/>
      <w:sz w:val="24"/>
    </w:rPr>
  </w:style>
  <w:style w:type="table" w:customStyle="1" w:styleId="GSAgenda">
    <w:name w:val="GS Agenda"/>
    <w:basedOn w:val="TableNormal"/>
    <w:uiPriority w:val="99"/>
    <w:rsid w:val="00DF0DEE"/>
    <w:pPr>
      <w:spacing w:before="60" w:after="120" w:line="240" w:lineRule="auto"/>
    </w:pPr>
    <w:rPr>
      <w:rFonts w:ascii="Calibri" w:hAnsi="Calibri"/>
      <w:sz w:val="24"/>
    </w:rPr>
    <w:tblPr/>
    <w:tblStylePr w:type="firstRow">
      <w:pPr>
        <w:wordWrap/>
        <w:spacing w:beforeLines="0" w:before="60" w:beforeAutospacing="0" w:afterLines="0" w:after="240" w:afterAutospacing="0" w:line="240" w:lineRule="auto"/>
        <w:ind w:leftChars="0" w:left="0" w:rightChars="0" w:right="0"/>
        <w:contextualSpacing w:val="0"/>
        <w:mirrorIndents w:val="0"/>
        <w:jc w:val="left"/>
        <w:outlineLvl w:val="9"/>
      </w:pPr>
      <w:rPr>
        <w:b/>
      </w:rPr>
    </w:tblStylePr>
  </w:style>
  <w:style w:type="paragraph" w:styleId="ListParagraph">
    <w:name w:val="List Paragraph"/>
    <w:basedOn w:val="Normal"/>
    <w:uiPriority w:val="34"/>
    <w:qFormat/>
    <w:rsid w:val="00426371"/>
    <w:pPr>
      <w:ind w:left="720"/>
      <w:contextualSpacing/>
    </w:pPr>
  </w:style>
  <w:style w:type="character" w:styleId="CommentReference">
    <w:name w:val="annotation reference"/>
    <w:basedOn w:val="DefaultParagraphFont"/>
    <w:uiPriority w:val="99"/>
    <w:semiHidden/>
    <w:unhideWhenUsed/>
    <w:rsid w:val="003B6E76"/>
    <w:rPr>
      <w:sz w:val="16"/>
      <w:szCs w:val="16"/>
    </w:rPr>
  </w:style>
  <w:style w:type="paragraph" w:styleId="CommentText">
    <w:name w:val="annotation text"/>
    <w:basedOn w:val="Normal"/>
    <w:link w:val="CommentTextChar"/>
    <w:uiPriority w:val="99"/>
    <w:unhideWhenUsed/>
    <w:rsid w:val="003B6E76"/>
    <w:pPr>
      <w:spacing w:line="240" w:lineRule="auto"/>
    </w:pPr>
    <w:rPr>
      <w:sz w:val="20"/>
      <w:szCs w:val="20"/>
    </w:rPr>
  </w:style>
  <w:style w:type="character" w:customStyle="1" w:styleId="CommentTextChar">
    <w:name w:val="Comment Text Char"/>
    <w:basedOn w:val="DefaultParagraphFont"/>
    <w:link w:val="CommentText"/>
    <w:uiPriority w:val="99"/>
    <w:rsid w:val="003B6E76"/>
    <w:rPr>
      <w:sz w:val="20"/>
      <w:szCs w:val="20"/>
    </w:rPr>
  </w:style>
  <w:style w:type="paragraph" w:styleId="CommentSubject">
    <w:name w:val="annotation subject"/>
    <w:basedOn w:val="CommentText"/>
    <w:next w:val="CommentText"/>
    <w:link w:val="CommentSubjectChar"/>
    <w:uiPriority w:val="99"/>
    <w:semiHidden/>
    <w:unhideWhenUsed/>
    <w:rsid w:val="003B6E76"/>
    <w:rPr>
      <w:b/>
      <w:bCs/>
    </w:rPr>
  </w:style>
  <w:style w:type="character" w:customStyle="1" w:styleId="CommentSubjectChar">
    <w:name w:val="Comment Subject Char"/>
    <w:basedOn w:val="CommentTextChar"/>
    <w:link w:val="CommentSubject"/>
    <w:uiPriority w:val="99"/>
    <w:semiHidden/>
    <w:rsid w:val="003B6E76"/>
    <w:rPr>
      <w:b/>
      <w:bCs/>
      <w:sz w:val="20"/>
      <w:szCs w:val="20"/>
    </w:rPr>
  </w:style>
  <w:style w:type="table" w:customStyle="1" w:styleId="GSTable2">
    <w:name w:val="GS Table2"/>
    <w:basedOn w:val="TableNormal"/>
    <w:uiPriority w:val="99"/>
    <w:rsid w:val="005360B4"/>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BodyParawithnumb">
    <w:name w:val="GS Body Para with numb"/>
    <w:basedOn w:val="Normal"/>
    <w:link w:val="GSBodyParawithnumbChar"/>
    <w:qFormat/>
    <w:rsid w:val="006E5A81"/>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6E5A81"/>
    <w:rPr>
      <w:rFonts w:cs="Arial"/>
      <w:color w:val="4D4D4D"/>
    </w:rPr>
  </w:style>
  <w:style w:type="paragraph" w:customStyle="1" w:styleId="GSHeading1withnumb">
    <w:name w:val="GS Heading 1 with numb"/>
    <w:basedOn w:val="Subtitle"/>
    <w:qFormat/>
    <w:rsid w:val="006E5A81"/>
    <w:pPr>
      <w:numPr>
        <w:ilvl w:val="0"/>
        <w:numId w:val="4"/>
      </w:numPr>
      <w:pBdr>
        <w:bottom w:val="single" w:sz="2" w:space="5" w:color="CEE0CC"/>
      </w:pBdr>
      <w:tabs>
        <w:tab w:val="clear" w:pos="567"/>
      </w:tabs>
      <w:spacing w:before="40" w:after="80" w:line="300" w:lineRule="exact"/>
      <w:ind w:left="720" w:hanging="360"/>
      <w:outlineLvl w:val="1"/>
    </w:pPr>
    <w:rPr>
      <w:rFonts w:cs="Arial"/>
      <w:color w:val="3B9164"/>
      <w:sz w:val="28"/>
      <w:szCs w:val="40"/>
      <w:lang w:eastAsia="en-GB"/>
    </w:rPr>
  </w:style>
  <w:style w:type="paragraph" w:styleId="Subtitle">
    <w:name w:val="Subtitle"/>
    <w:basedOn w:val="Normal"/>
    <w:next w:val="Normal"/>
    <w:link w:val="SubtitleChar"/>
    <w:uiPriority w:val="11"/>
    <w:qFormat/>
    <w:rsid w:val="006E5A81"/>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E5A81"/>
    <w:rPr>
      <w:rFonts w:eastAsiaTheme="minorEastAsia"/>
      <w:color w:val="5A5A5A" w:themeColor="text1" w:themeTint="A5"/>
      <w:spacing w:val="15"/>
    </w:rPr>
  </w:style>
  <w:style w:type="paragraph" w:styleId="NoSpacing">
    <w:name w:val="No Spacing"/>
    <w:uiPriority w:val="1"/>
    <w:qFormat/>
    <w:rsid w:val="00977D24"/>
    <w:pPr>
      <w:spacing w:after="0" w:line="240" w:lineRule="auto"/>
    </w:pPr>
  </w:style>
  <w:style w:type="character" w:styleId="PlaceholderText">
    <w:name w:val="Placeholder Text"/>
    <w:basedOn w:val="DefaultParagraphFont"/>
    <w:uiPriority w:val="99"/>
    <w:semiHidden/>
    <w:rsid w:val="00531B03"/>
    <w:rPr>
      <w:color w:val="808080"/>
    </w:rPr>
  </w:style>
  <w:style w:type="table" w:customStyle="1" w:styleId="GSTable">
    <w:name w:val="GS Table"/>
    <w:basedOn w:val="TableNormal"/>
    <w:uiPriority w:val="99"/>
    <w:rsid w:val="001D675F"/>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TableHeaderWhite">
    <w:name w:val="Table Header White"/>
    <w:basedOn w:val="Normal"/>
    <w:qFormat/>
    <w:rsid w:val="001D675F"/>
    <w:pPr>
      <w:spacing w:before="40" w:after="60" w:line="280" w:lineRule="exact"/>
      <w:outlineLvl w:val="1"/>
    </w:pPr>
    <w:rPr>
      <w:rFonts w:ascii="Calibri" w:hAnsi="Calibri" w:cs="Arial"/>
      <w:b/>
      <w:color w:val="FFFFFF" w:themeColor="background1"/>
      <w:sz w:val="24"/>
    </w:rPr>
  </w:style>
  <w:style w:type="paragraph" w:customStyle="1" w:styleId="TableText">
    <w:name w:val="Table Text"/>
    <w:next w:val="Normal"/>
    <w:qFormat/>
    <w:rsid w:val="001D675F"/>
    <w:pPr>
      <w:spacing w:before="60" w:after="60"/>
    </w:pPr>
    <w:rPr>
      <w:rFonts w:ascii="Calibri" w:hAnsi="Calibri" w:cs="Arial"/>
      <w:b/>
      <w:color w:val="404040" w:themeColor="text1" w:themeTint="BF"/>
    </w:rPr>
  </w:style>
  <w:style w:type="paragraph" w:styleId="Revision">
    <w:name w:val="Revision"/>
    <w:hidden/>
    <w:uiPriority w:val="99"/>
    <w:semiHidden/>
    <w:rsid w:val="003162A2"/>
    <w:pPr>
      <w:spacing w:after="0" w:line="240" w:lineRule="auto"/>
    </w:pPr>
  </w:style>
  <w:style w:type="character" w:customStyle="1" w:styleId="NEW">
    <w:name w:val="NEW"/>
    <w:basedOn w:val="DefaultParagraphFont"/>
    <w:uiPriority w:val="1"/>
    <w:rsid w:val="007567AF"/>
    <w:rPr>
      <w:rFonts w:ascii="Calibri" w:hAnsi="Calibri" w:cs="Calibri" w:hint="default"/>
      <w:color w:val="auto"/>
      <w:sz w:val="22"/>
    </w:rPr>
  </w:style>
  <w:style w:type="character" w:customStyle="1" w:styleId="Heading1Char">
    <w:name w:val="Heading 1 Char"/>
    <w:basedOn w:val="DefaultParagraphFont"/>
    <w:link w:val="Heading1"/>
    <w:uiPriority w:val="9"/>
    <w:rsid w:val="00D46422"/>
  </w:style>
  <w:style w:type="character" w:styleId="Hyperlink">
    <w:name w:val="Hyperlink"/>
    <w:basedOn w:val="DefaultParagraphFont"/>
    <w:uiPriority w:val="99"/>
    <w:unhideWhenUsed/>
    <w:rsid w:val="007374B3"/>
    <w:rPr>
      <w:color w:val="0000FF" w:themeColor="hyperlink"/>
      <w:u w:val="single"/>
    </w:rPr>
  </w:style>
  <w:style w:type="character" w:styleId="UnresolvedMention">
    <w:name w:val="Unresolved Mention"/>
    <w:basedOn w:val="DefaultParagraphFont"/>
    <w:uiPriority w:val="99"/>
    <w:semiHidden/>
    <w:unhideWhenUsed/>
    <w:rsid w:val="007374B3"/>
    <w:rPr>
      <w:color w:val="605E5C"/>
      <w:shd w:val="clear" w:color="auto" w:fill="E1DFDD"/>
    </w:rPr>
  </w:style>
  <w:style w:type="character" w:customStyle="1" w:styleId="Heading2Char">
    <w:name w:val="Heading 2 Char"/>
    <w:basedOn w:val="DefaultParagraphFont"/>
    <w:link w:val="Heading2"/>
    <w:uiPriority w:val="9"/>
    <w:semiHidden/>
    <w:rsid w:val="0031690B"/>
    <w:rPr>
      <w:rFonts w:asciiTheme="majorHAnsi" w:eastAsiaTheme="majorEastAsia" w:hAnsiTheme="majorHAnsi" w:cstheme="majorBidi"/>
      <w:color w:val="365F91" w:themeColor="accent1" w:themeShade="BF"/>
      <w:sz w:val="26"/>
      <w:szCs w:val="26"/>
    </w:rPr>
  </w:style>
  <w:style w:type="paragraph" w:customStyle="1" w:styleId="GSHeadingPlain">
    <w:name w:val="GS Heading Plain"/>
    <w:autoRedefine/>
    <w:qFormat/>
    <w:rsid w:val="002E48EF"/>
    <w:pPr>
      <w:spacing w:after="0"/>
    </w:pPr>
    <w:rPr>
      <w:rFonts w:eastAsiaTheme="minorEastAsia" w:cs="Arial"/>
      <w:color w:val="3B9164"/>
      <w:spacing w:val="15"/>
      <w:sz w:val="28"/>
      <w:szCs w:val="4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95635">
      <w:bodyDiv w:val="1"/>
      <w:marLeft w:val="0"/>
      <w:marRight w:val="0"/>
      <w:marTop w:val="0"/>
      <w:marBottom w:val="0"/>
      <w:divBdr>
        <w:top w:val="none" w:sz="0" w:space="0" w:color="auto"/>
        <w:left w:val="none" w:sz="0" w:space="0" w:color="auto"/>
        <w:bottom w:val="none" w:sz="0" w:space="0" w:color="auto"/>
        <w:right w:val="none" w:sz="0" w:space="0" w:color="auto"/>
      </w:divBdr>
    </w:div>
    <w:div w:id="275136305">
      <w:bodyDiv w:val="1"/>
      <w:marLeft w:val="0"/>
      <w:marRight w:val="0"/>
      <w:marTop w:val="0"/>
      <w:marBottom w:val="0"/>
      <w:divBdr>
        <w:top w:val="none" w:sz="0" w:space="0" w:color="auto"/>
        <w:left w:val="none" w:sz="0" w:space="0" w:color="auto"/>
        <w:bottom w:val="none" w:sz="0" w:space="0" w:color="auto"/>
        <w:right w:val="none" w:sz="0" w:space="0" w:color="auto"/>
      </w:divBdr>
    </w:div>
    <w:div w:id="388578295">
      <w:bodyDiv w:val="1"/>
      <w:marLeft w:val="0"/>
      <w:marRight w:val="0"/>
      <w:marTop w:val="0"/>
      <w:marBottom w:val="0"/>
      <w:divBdr>
        <w:top w:val="none" w:sz="0" w:space="0" w:color="auto"/>
        <w:left w:val="none" w:sz="0" w:space="0" w:color="auto"/>
        <w:bottom w:val="none" w:sz="0" w:space="0" w:color="auto"/>
        <w:right w:val="none" w:sz="0" w:space="0" w:color="auto"/>
      </w:divBdr>
    </w:div>
    <w:div w:id="476260453">
      <w:bodyDiv w:val="1"/>
      <w:marLeft w:val="0"/>
      <w:marRight w:val="0"/>
      <w:marTop w:val="0"/>
      <w:marBottom w:val="0"/>
      <w:divBdr>
        <w:top w:val="none" w:sz="0" w:space="0" w:color="auto"/>
        <w:left w:val="none" w:sz="0" w:space="0" w:color="auto"/>
        <w:bottom w:val="none" w:sz="0" w:space="0" w:color="auto"/>
        <w:right w:val="none" w:sz="0" w:space="0" w:color="auto"/>
      </w:divBdr>
    </w:div>
    <w:div w:id="561454165">
      <w:bodyDiv w:val="1"/>
      <w:marLeft w:val="0"/>
      <w:marRight w:val="0"/>
      <w:marTop w:val="0"/>
      <w:marBottom w:val="0"/>
      <w:divBdr>
        <w:top w:val="none" w:sz="0" w:space="0" w:color="auto"/>
        <w:left w:val="none" w:sz="0" w:space="0" w:color="auto"/>
        <w:bottom w:val="none" w:sz="0" w:space="0" w:color="auto"/>
        <w:right w:val="none" w:sz="0" w:space="0" w:color="auto"/>
      </w:divBdr>
    </w:div>
    <w:div w:id="945500705">
      <w:bodyDiv w:val="1"/>
      <w:marLeft w:val="0"/>
      <w:marRight w:val="0"/>
      <w:marTop w:val="0"/>
      <w:marBottom w:val="0"/>
      <w:divBdr>
        <w:top w:val="none" w:sz="0" w:space="0" w:color="auto"/>
        <w:left w:val="none" w:sz="0" w:space="0" w:color="auto"/>
        <w:bottom w:val="none" w:sz="0" w:space="0" w:color="auto"/>
        <w:right w:val="none" w:sz="0" w:space="0" w:color="auto"/>
      </w:divBdr>
    </w:div>
    <w:div w:id="1294866853">
      <w:bodyDiv w:val="1"/>
      <w:marLeft w:val="0"/>
      <w:marRight w:val="0"/>
      <w:marTop w:val="0"/>
      <w:marBottom w:val="0"/>
      <w:divBdr>
        <w:top w:val="none" w:sz="0" w:space="0" w:color="auto"/>
        <w:left w:val="none" w:sz="0" w:space="0" w:color="auto"/>
        <w:bottom w:val="none" w:sz="0" w:space="0" w:color="auto"/>
        <w:right w:val="none" w:sz="0" w:space="0" w:color="auto"/>
      </w:divBdr>
    </w:div>
    <w:div w:id="1630089569">
      <w:bodyDiv w:val="1"/>
      <w:marLeft w:val="0"/>
      <w:marRight w:val="0"/>
      <w:marTop w:val="0"/>
      <w:marBottom w:val="0"/>
      <w:divBdr>
        <w:top w:val="none" w:sz="0" w:space="0" w:color="auto"/>
        <w:left w:val="none" w:sz="0" w:space="0" w:color="auto"/>
        <w:bottom w:val="none" w:sz="0" w:space="0" w:color="auto"/>
        <w:right w:val="none" w:sz="0" w:space="0" w:color="auto"/>
      </w:divBdr>
    </w:div>
    <w:div w:id="1860241547">
      <w:bodyDiv w:val="1"/>
      <w:marLeft w:val="0"/>
      <w:marRight w:val="0"/>
      <w:marTop w:val="0"/>
      <w:marBottom w:val="0"/>
      <w:divBdr>
        <w:top w:val="none" w:sz="0" w:space="0" w:color="auto"/>
        <w:left w:val="none" w:sz="0" w:space="0" w:color="auto"/>
        <w:bottom w:val="none" w:sz="0" w:space="0" w:color="auto"/>
        <w:right w:val="none" w:sz="0" w:space="0" w:color="auto"/>
      </w:divBdr>
    </w:div>
    <w:div w:id="1896499699">
      <w:bodyDiv w:val="1"/>
      <w:marLeft w:val="0"/>
      <w:marRight w:val="0"/>
      <w:marTop w:val="0"/>
      <w:marBottom w:val="0"/>
      <w:divBdr>
        <w:top w:val="none" w:sz="0" w:space="0" w:color="auto"/>
        <w:left w:val="none" w:sz="0" w:space="0" w:color="auto"/>
        <w:bottom w:val="none" w:sz="0" w:space="0" w:color="auto"/>
        <w:right w:val="none" w:sz="0" w:space="0" w:color="auto"/>
      </w:divBdr>
    </w:div>
    <w:div w:id="214160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AF407-8D3C-4C29-BB79-080C0109D3B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A7F6BFC-77EC-4433-B522-622B9421705D}">
  <ds:schemaRefs>
    <ds:schemaRef ds:uri="http://schemas.openxmlformats.org/officeDocument/2006/bibliography"/>
  </ds:schemaRefs>
</ds:datastoreItem>
</file>

<file path=customXml/itemProps3.xml><?xml version="1.0" encoding="utf-8"?>
<ds:datastoreItem xmlns:ds="http://schemas.openxmlformats.org/officeDocument/2006/customXml" ds:itemID="{FE019472-528D-4FF7-9C45-B8ACDA02D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B6CAA-BDCD-4924-A2B8-17AFCB061D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C64ECC8-E680-482D-95C2-A8CD358D2F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7815</TotalTime>
  <Pages>2</Pages>
  <Words>741</Words>
  <Characters>3880</Characters>
  <Application>Microsoft Office Word</Application>
  <DocSecurity>0</DocSecurity>
  <Lines>76</Lines>
  <Paragraphs>38</Paragraphs>
  <ScaleCrop>false</ScaleCrop>
  <HeadingPairs>
    <vt:vector size="2" baseType="variant">
      <vt:variant>
        <vt:lpstr>Title</vt:lpstr>
      </vt:variant>
      <vt:variant>
        <vt:i4>1</vt:i4>
      </vt:variant>
    </vt:vector>
  </HeadingPairs>
  <TitlesOfParts>
    <vt:vector size="1" baseType="lpstr">
      <vt:lpstr>Correct application of Forward Cost Pricing EDCM charges to users connected directly to a Grid Supply Point</vt:lpstr>
    </vt:vector>
  </TitlesOfParts>
  <Company>IBERDROLA S.A.</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of Smart Meter Communication Licence Costs in the CDCM</dc:title>
  <dc:subject>CDCM</dc:subject>
  <dc:creator>Working Group Comment</dc:creator>
  <cp:keywords>474</cp:keywords>
  <cp:lastModifiedBy>Dylan Townsend</cp:lastModifiedBy>
  <cp:revision>147</cp:revision>
  <cp:lastPrinted>2015-12-17T15:36:00Z</cp:lastPrinted>
  <dcterms:created xsi:type="dcterms:W3CDTF">2025-05-02T10:02:00Z</dcterms:created>
  <dcterms:modified xsi:type="dcterms:W3CDTF">2026-07-30T11:46:00Z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0x01010059D82CCE358ABC4A8E612162784C6687</vt:lpwstr>
  </property>
  <property fmtid="{D5CDD505-2E9C-101B-9397-08002B2CF9AE}" pid="4" name="docIndexRef">
    <vt:lpwstr>bf5f6c30-2194-41fb-bf04-5e294c3b69c5</vt:lpwstr>
  </property>
  <property fmtid="{D5CDD505-2E9C-101B-9397-08002B2CF9AE}" pid="5" name="bjSaver">
    <vt:lpwstr>O86CEsMDwhmvjF2tOMO3RFSFNrFPyif1</vt:lpwstr>
  </property>
  <property fmtid="{D5CDD505-2E9C-101B-9397-08002B2CF9AE}" pid="6" name="bjDocumentSecurityLabel">
    <vt:lpwstr>This item has no classification</vt:lpwstr>
  </property>
  <property fmtid="{D5CDD505-2E9C-101B-9397-08002B2CF9AE}" pid="7" name="Order">
    <vt:r8>100</vt:r8>
  </property>
</Properties>
</file>